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CBB3" w14:textId="77777777" w:rsidR="00ED37D2" w:rsidRDefault="00ED37D2" w:rsidP="00831811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54"/>
      </w:tblGrid>
      <w:tr w:rsidR="00ED37D2" w14:paraId="429EF2F1" w14:textId="77777777">
        <w:tc>
          <w:tcPr>
            <w:tcW w:w="5670" w:type="dxa"/>
          </w:tcPr>
          <w:p w14:paraId="1F4B598C" w14:textId="77777777" w:rsidR="00ED37D2" w:rsidRDefault="007840AB" w:rsidP="00831811">
            <w:pPr>
              <w:pStyle w:val="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Арт.№ 2130</w:t>
            </w:r>
          </w:p>
          <w:p w14:paraId="28B724F1" w14:textId="77777777" w:rsidR="00ED37D2" w:rsidRDefault="007840AB" w:rsidP="00831811">
            <w:pPr>
              <w:pStyle w:val="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Масло для древесно-полимерного композита</w:t>
            </w:r>
          </w:p>
          <w:p w14:paraId="151101EA" w14:textId="77777777" w:rsidR="00ED37D2" w:rsidRDefault="007840AB" w:rsidP="0083181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Для наружных работ</w:t>
            </w:r>
          </w:p>
          <w:p w14:paraId="48832D5C" w14:textId="77777777" w:rsidR="00ED37D2" w:rsidRDefault="00ED37D2" w:rsidP="00831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dxa"/>
          </w:tcPr>
          <w:p w14:paraId="6B6FFF38" w14:textId="77777777" w:rsidR="00ED37D2" w:rsidRDefault="00ED37D2" w:rsidP="00831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DADB18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D37D2" w14:paraId="1E979993" w14:textId="77777777">
        <w:tc>
          <w:tcPr>
            <w:tcW w:w="2268" w:type="dxa"/>
            <w:vAlign w:val="center"/>
          </w:tcPr>
          <w:p w14:paraId="751415DC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Данные о продукте</w:t>
            </w:r>
          </w:p>
        </w:tc>
      </w:tr>
    </w:tbl>
    <w:p w14:paraId="38EB7199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8"/>
          <w:szCs w:val="18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7628"/>
      </w:tblGrid>
      <w:tr w:rsidR="00ED37D2" w14:paraId="0D8DC048" w14:textId="77777777">
        <w:trPr>
          <w:trHeight w:val="1313"/>
        </w:trPr>
        <w:tc>
          <w:tcPr>
            <w:tcW w:w="2379" w:type="dxa"/>
          </w:tcPr>
          <w:p w14:paraId="3B71C237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Описание</w:t>
            </w:r>
          </w:p>
          <w:p w14:paraId="16348456" w14:textId="77777777" w:rsidR="00ED37D2" w:rsidRDefault="00ED37D2" w:rsidP="00831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C58E3D" w14:textId="77777777" w:rsidR="00ED37D2" w:rsidRDefault="00ED37D2" w:rsidP="00831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</w:tcPr>
          <w:p w14:paraId="70EEA06F" w14:textId="77777777" w:rsidR="00ED37D2" w:rsidRDefault="007840AB" w:rsidP="00831811">
            <w:pPr>
              <w:pStyle w:val="afe"/>
              <w:rPr>
                <w:rFonts w:ascii="Arial" w:eastAsia="OpenSan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DUSBERG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Масло для древесно-полимерного композита (ДПК) </w:t>
            </w:r>
            <w:r w:rsidR="0083181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специальное масло для наружных работ из натуральных масел и смол</w:t>
            </w:r>
            <w:r>
              <w:rPr>
                <w:rFonts w:ascii="Arial" w:eastAsia="OpenSans" w:hAnsi="Arial" w:cs="Arial"/>
                <w:color w:val="191919"/>
                <w:sz w:val="18"/>
                <w:szCs w:val="18"/>
              </w:rPr>
              <w:t xml:space="preserve"> для защиты и ухода за поверхностями из ДПК. Проникает в структуру ДПК, защищает от в</w:t>
            </w:r>
            <w:r w:rsidR="00831811">
              <w:rPr>
                <w:rFonts w:ascii="Arial" w:eastAsia="OpenSans" w:hAnsi="Arial" w:cs="Arial"/>
                <w:color w:val="191919"/>
                <w:sz w:val="18"/>
                <w:szCs w:val="18"/>
              </w:rPr>
              <w:t xml:space="preserve">оздействия влаги и загрязнений. </w:t>
            </w:r>
            <w:r>
              <w:rPr>
                <w:rFonts w:ascii="Arial" w:eastAsia="OpenSans" w:hAnsi="Arial" w:cs="Arial"/>
                <w:color w:val="191919"/>
                <w:sz w:val="18"/>
                <w:szCs w:val="18"/>
              </w:rPr>
              <w:t>Предотвращает преждевременное потускнение цвета, вымывание и старение поверхности. При обновлении восстанавливает цвет ДПК до оригинального. Придает поверхности шелковистый блеск. Очень экономичный расход.</w:t>
            </w:r>
          </w:p>
        </w:tc>
      </w:tr>
    </w:tbl>
    <w:p w14:paraId="12164AAC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7622"/>
      </w:tblGrid>
      <w:tr w:rsidR="00ED37D2" w14:paraId="1B19DF98" w14:textId="77777777">
        <w:trPr>
          <w:trHeight w:val="514"/>
        </w:trPr>
        <w:tc>
          <w:tcPr>
            <w:tcW w:w="2385" w:type="dxa"/>
          </w:tcPr>
          <w:p w14:paraId="7C3B6B04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Назначение</w:t>
            </w:r>
          </w:p>
          <w:p w14:paraId="0E85840C" w14:textId="77777777" w:rsidR="00ED37D2" w:rsidRDefault="00ED37D2" w:rsidP="00831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7831F" w14:textId="77777777" w:rsidR="00ED37D2" w:rsidRDefault="00ED37D2" w:rsidP="00831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2" w:type="dxa"/>
          </w:tcPr>
          <w:p w14:paraId="0DDE1009" w14:textId="77777777" w:rsidR="00ED37D2" w:rsidRDefault="007840AB" w:rsidP="00831811">
            <w:pPr>
              <w:pStyle w:val="af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наружных работ. Для защиты и ухода за террасами, настилами и садовой мебелью из ДПК.</w:t>
            </w:r>
          </w:p>
        </w:tc>
      </w:tr>
    </w:tbl>
    <w:p w14:paraId="4AA39825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584"/>
      </w:tblGrid>
      <w:tr w:rsidR="00ED37D2" w14:paraId="3A698FE3" w14:textId="77777777">
        <w:trPr>
          <w:trHeight w:val="527"/>
        </w:trPr>
        <w:tc>
          <w:tcPr>
            <w:tcW w:w="2373" w:type="dxa"/>
          </w:tcPr>
          <w:p w14:paraId="011099B0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</w:t>
            </w:r>
          </w:p>
          <w:p w14:paraId="74E4AB08" w14:textId="77777777" w:rsidR="00ED37D2" w:rsidRDefault="00ED37D2" w:rsidP="00831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4" w:type="dxa"/>
          </w:tcPr>
          <w:p w14:paraId="038257A9" w14:textId="77777777" w:rsidR="00ED37D2" w:rsidRDefault="007840AB" w:rsidP="00831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Термически обработанная смесь натуральных масел и канифоли, алифатические углеводороды, сиккативы без свинца и кобальта.</w:t>
            </w:r>
          </w:p>
        </w:tc>
      </w:tr>
    </w:tbl>
    <w:p w14:paraId="7EC1D8B8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7577"/>
      </w:tblGrid>
      <w:tr w:rsidR="00ED37D2" w14:paraId="2D4B2625" w14:textId="77777777">
        <w:trPr>
          <w:trHeight w:val="199"/>
        </w:trPr>
        <w:tc>
          <w:tcPr>
            <w:tcW w:w="2371" w:type="dxa"/>
            <w:vAlign w:val="center"/>
          </w:tcPr>
          <w:p w14:paraId="6DA40234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</w:t>
            </w:r>
          </w:p>
        </w:tc>
        <w:tc>
          <w:tcPr>
            <w:tcW w:w="7577" w:type="dxa"/>
          </w:tcPr>
          <w:p w14:paraId="47F56C5E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Желтый/коричневый</w:t>
            </w:r>
          </w:p>
        </w:tc>
      </w:tr>
    </w:tbl>
    <w:p w14:paraId="370324AC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7564"/>
      </w:tblGrid>
      <w:tr w:rsidR="00ED37D2" w14:paraId="0A846478" w14:textId="77777777">
        <w:trPr>
          <w:trHeight w:val="163"/>
        </w:trPr>
        <w:tc>
          <w:tcPr>
            <w:tcW w:w="2367" w:type="dxa"/>
            <w:vAlign w:val="center"/>
          </w:tcPr>
          <w:p w14:paraId="0EA29C0D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Степень блеска</w:t>
            </w:r>
          </w:p>
        </w:tc>
        <w:tc>
          <w:tcPr>
            <w:tcW w:w="7564" w:type="dxa"/>
          </w:tcPr>
          <w:p w14:paraId="0F494FBB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Шелковистый блеск.</w:t>
            </w:r>
          </w:p>
        </w:tc>
      </w:tr>
    </w:tbl>
    <w:p w14:paraId="140F1787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7564"/>
      </w:tblGrid>
      <w:tr w:rsidR="00ED37D2" w14:paraId="5915E24E" w14:textId="77777777">
        <w:trPr>
          <w:trHeight w:val="182"/>
        </w:trPr>
        <w:tc>
          <w:tcPr>
            <w:tcW w:w="2367" w:type="dxa"/>
            <w:vAlign w:val="center"/>
          </w:tcPr>
          <w:p w14:paraId="220657E8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</w:t>
            </w:r>
          </w:p>
        </w:tc>
        <w:tc>
          <w:tcPr>
            <w:tcW w:w="7564" w:type="dxa"/>
          </w:tcPr>
          <w:p w14:paraId="68672C28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 л, 2 л, 10 л.</w:t>
            </w:r>
          </w:p>
        </w:tc>
      </w:tr>
    </w:tbl>
    <w:p w14:paraId="3797BA21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9"/>
        <w:gridCol w:w="7157"/>
        <w:gridCol w:w="376"/>
      </w:tblGrid>
      <w:tr w:rsidR="00ED37D2" w14:paraId="7065F18D" w14:textId="77777777">
        <w:trPr>
          <w:trHeight w:val="1261"/>
        </w:trPr>
        <w:tc>
          <w:tcPr>
            <w:tcW w:w="2357" w:type="dxa"/>
            <w:gridSpan w:val="2"/>
          </w:tcPr>
          <w:p w14:paraId="52CC5E20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Хранение</w:t>
            </w:r>
          </w:p>
        </w:tc>
        <w:tc>
          <w:tcPr>
            <w:tcW w:w="7533" w:type="dxa"/>
            <w:gridSpan w:val="2"/>
          </w:tcPr>
          <w:p w14:paraId="0543DF2D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Хранить в недоступном для детей месте в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плотно закрытой таре при температуре не ниже +5 °С, предохраняя от воздействия влаги, источников тепла и прямых солнечных лучей. </w:t>
            </w:r>
            <w:r>
              <w:rPr>
                <w:rFonts w:ascii="Arial" w:hAnsi="Arial" w:cs="Arial"/>
                <w:sz w:val="18"/>
                <w:szCs w:val="18"/>
              </w:rPr>
              <w:t xml:space="preserve">Срок годности продукта в невскрытой таре – 5 лет с даты изготовления. Дату изготовления (месяц, год, номер партии) смотреть на таре. </w:t>
            </w:r>
          </w:p>
          <w:p w14:paraId="17D563E4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длительном хранении продукта после использования, во избежание образования пленки на поверхности продукта, рекомендуется перелить краску в емкость меньшего объема, чтобы снизить контакт с воздухом, и плотно закрыть крышкой.</w:t>
            </w:r>
          </w:p>
        </w:tc>
      </w:tr>
      <w:tr w:rsidR="00ED37D2" w14:paraId="697E526F" w14:textId="77777777">
        <w:trPr>
          <w:gridAfter w:val="1"/>
          <w:wAfter w:w="376" w:type="dxa"/>
        </w:trPr>
        <w:tc>
          <w:tcPr>
            <w:tcW w:w="2268" w:type="dxa"/>
            <w:vAlign w:val="center"/>
          </w:tcPr>
          <w:p w14:paraId="11F09241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Технические данные</w:t>
            </w:r>
          </w:p>
        </w:tc>
        <w:tc>
          <w:tcPr>
            <w:tcW w:w="7246" w:type="dxa"/>
            <w:gridSpan w:val="2"/>
          </w:tcPr>
          <w:p w14:paraId="55278DF8" w14:textId="77777777" w:rsidR="00ED37D2" w:rsidRDefault="00ED37D2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2D6962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953"/>
      </w:tblGrid>
      <w:tr w:rsidR="00ED37D2" w14:paraId="7699A9B8" w14:textId="77777777">
        <w:trPr>
          <w:trHeight w:val="109"/>
        </w:trPr>
        <w:tc>
          <w:tcPr>
            <w:tcW w:w="2358" w:type="dxa"/>
          </w:tcPr>
          <w:p w14:paraId="1F308E26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</w:t>
            </w:r>
          </w:p>
        </w:tc>
        <w:tc>
          <w:tcPr>
            <w:tcW w:w="6953" w:type="dxa"/>
          </w:tcPr>
          <w:p w14:paraId="24CA0E77" w14:textId="77777777" w:rsidR="00ED37D2" w:rsidRDefault="007840AB" w:rsidP="00831811">
            <w:pPr>
              <w:pStyle w:val="aff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Для норм</w:t>
            </w:r>
            <w:r w:rsidR="00831811">
              <w:rPr>
                <w:rFonts w:ascii="Arial" w:hAnsi="Arial" w:cs="Arial"/>
                <w:sz w:val="18"/>
                <w:szCs w:val="18"/>
              </w:rPr>
              <w:t>ально впитывающего основания 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811">
              <w:rPr>
                <w:rFonts w:ascii="Arial" w:hAnsi="Arial" w:cs="Arial"/>
                <w:sz w:val="18"/>
                <w:szCs w:val="18"/>
              </w:rPr>
              <w:t>м2</w:t>
            </w:r>
            <w:r>
              <w:rPr>
                <w:rFonts w:ascii="Arial" w:hAnsi="Arial" w:cs="Arial"/>
                <w:sz w:val="18"/>
                <w:szCs w:val="18"/>
              </w:rPr>
              <w:t xml:space="preserve">/л в </w:t>
            </w:r>
            <w:r w:rsidR="00831811">
              <w:rPr>
                <w:rFonts w:ascii="Arial" w:hAnsi="Arial" w:cs="Arial"/>
                <w:sz w:val="18"/>
                <w:szCs w:val="18"/>
              </w:rPr>
              <w:t>1 слой и 12 м2/л в 2</w:t>
            </w:r>
            <w:r>
              <w:rPr>
                <w:rFonts w:ascii="Arial" w:hAnsi="Arial" w:cs="Arial"/>
                <w:sz w:val="18"/>
                <w:szCs w:val="18"/>
              </w:rPr>
              <w:t xml:space="preserve"> слоя. </w:t>
            </w:r>
          </w:p>
        </w:tc>
      </w:tr>
    </w:tbl>
    <w:p w14:paraId="0010E46B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7482"/>
      </w:tblGrid>
      <w:tr w:rsidR="00ED37D2" w14:paraId="0EABA0C3" w14:textId="77777777">
        <w:trPr>
          <w:trHeight w:val="1194"/>
        </w:trPr>
        <w:tc>
          <w:tcPr>
            <w:tcW w:w="2341" w:type="dxa"/>
          </w:tcPr>
          <w:p w14:paraId="231797FE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Время высыхания</w:t>
            </w:r>
          </w:p>
          <w:p w14:paraId="5B2EAAD0" w14:textId="77777777" w:rsidR="00ED37D2" w:rsidRDefault="00ED37D2" w:rsidP="00831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5BD63D" w14:textId="77777777" w:rsidR="00ED37D2" w:rsidRDefault="00ED37D2" w:rsidP="00831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2" w:type="dxa"/>
          </w:tcPr>
          <w:p w14:paraId="6636B27B" w14:textId="77777777" w:rsidR="00ED37D2" w:rsidRDefault="007840AB" w:rsidP="00831811">
            <w:pPr>
              <w:pStyle w:val="aff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нормальных условиях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+20 °С и относительной влажности воздуха 55 %) готовность к нанесен</w:t>
            </w:r>
            <w:r w:rsidR="00831811">
              <w:rPr>
                <w:rFonts w:ascii="Arial" w:hAnsi="Arial" w:cs="Arial"/>
                <w:sz w:val="18"/>
                <w:szCs w:val="18"/>
              </w:rPr>
              <w:t>ию последующих слоев – через 12-</w:t>
            </w:r>
            <w:r>
              <w:rPr>
                <w:rFonts w:ascii="Arial" w:hAnsi="Arial" w:cs="Arial"/>
                <w:sz w:val="18"/>
                <w:szCs w:val="18"/>
              </w:rPr>
              <w:t>16 часов.</w:t>
            </w:r>
          </w:p>
          <w:p w14:paraId="5B6A0E18" w14:textId="77777777" w:rsidR="00ED37D2" w:rsidRDefault="007840AB" w:rsidP="00831811">
            <w:pPr>
              <w:pStyle w:val="aff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Окончательную прочность </w:t>
            </w:r>
            <w:r w:rsidR="00831811">
              <w:rPr>
                <w:rFonts w:ascii="Arial" w:hAnsi="Arial" w:cs="Arial"/>
                <w:sz w:val="18"/>
                <w:szCs w:val="18"/>
              </w:rPr>
              <w:t>поверхность приобретает через 7-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10  дней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9431DD9" w14:textId="77777777" w:rsidR="00ED37D2" w:rsidRDefault="00ED37D2" w:rsidP="008318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46"/>
      </w:tblGrid>
      <w:tr w:rsidR="00ED37D2" w14:paraId="3CA010A1" w14:textId="77777777">
        <w:trPr>
          <w:trHeight w:val="87"/>
        </w:trPr>
        <w:tc>
          <w:tcPr>
            <w:tcW w:w="2268" w:type="dxa"/>
          </w:tcPr>
          <w:p w14:paraId="4EDCF2D6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Применение продукта</w:t>
            </w:r>
          </w:p>
        </w:tc>
        <w:tc>
          <w:tcPr>
            <w:tcW w:w="7246" w:type="dxa"/>
          </w:tcPr>
          <w:p w14:paraId="0D5CCFE4" w14:textId="77777777" w:rsidR="00ED37D2" w:rsidRDefault="00ED37D2" w:rsidP="00831811">
            <w:pPr>
              <w:pStyle w:val="afe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63AAD02B" w14:textId="77777777" w:rsidR="00ED37D2" w:rsidRDefault="00ED37D2" w:rsidP="00831811">
      <w:pPr>
        <w:spacing w:after="0"/>
        <w:rPr>
          <w:rFonts w:ascii="Arial" w:hAnsi="Arial" w:cs="Arial"/>
          <w:sz w:val="18"/>
          <w:szCs w:val="18"/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584"/>
      </w:tblGrid>
      <w:tr w:rsidR="00ED37D2" w14:paraId="6B113F0E" w14:textId="77777777">
        <w:trPr>
          <w:trHeight w:val="559"/>
        </w:trPr>
        <w:tc>
          <w:tcPr>
            <w:tcW w:w="2373" w:type="dxa"/>
          </w:tcPr>
          <w:p w14:paraId="2B01001A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Подходящие основания</w:t>
            </w:r>
          </w:p>
        </w:tc>
        <w:tc>
          <w:tcPr>
            <w:tcW w:w="7584" w:type="dxa"/>
          </w:tcPr>
          <w:p w14:paraId="606DB04C" w14:textId="77777777" w:rsidR="00ED37D2" w:rsidRDefault="007840AB" w:rsidP="00831811">
            <w:pPr>
              <w:pStyle w:val="afe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Древесно-полимерный композит. </w:t>
            </w:r>
            <w:r>
              <w:rPr>
                <w:rFonts w:ascii="Arial" w:hAnsi="Arial" w:cs="Arial"/>
                <w:sz w:val="18"/>
                <w:szCs w:val="18"/>
              </w:rPr>
              <w:t>Перед окраской поверхностей, которые ранее были обработаны грунтовками и/или иными средствами, сделайте предварительный тест на незаметном участке.</w:t>
            </w:r>
          </w:p>
        </w:tc>
      </w:tr>
    </w:tbl>
    <w:p w14:paraId="0FACE810" w14:textId="77777777" w:rsidR="00ED37D2" w:rsidRDefault="00ED37D2" w:rsidP="008318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7629"/>
      </w:tblGrid>
      <w:tr w:rsidR="00ED37D2" w14:paraId="58DA2424" w14:textId="77777777">
        <w:trPr>
          <w:trHeight w:val="506"/>
        </w:trPr>
        <w:tc>
          <w:tcPr>
            <w:tcW w:w="2388" w:type="dxa"/>
          </w:tcPr>
          <w:p w14:paraId="774F578B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Подготовка </w:t>
            </w:r>
          </w:p>
          <w:p w14:paraId="39DE765E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поверхности</w:t>
            </w:r>
          </w:p>
        </w:tc>
        <w:tc>
          <w:tcPr>
            <w:tcW w:w="7629" w:type="dxa"/>
          </w:tcPr>
          <w:p w14:paraId="266FCC31" w14:textId="77777777" w:rsidR="00ED37D2" w:rsidRDefault="007840AB" w:rsidP="00831811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Поверхность должна быть сухой, прочной, впитывающей, очищенной от загрязнений, смолы, пыли и жира. Старые пленкообразующие лакокрасочные покрытия должны быть полностью удалены.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Все поврежденные и/или посиневшие участки необходимо отшлифовать. Окончательное шлифование рекомендуется выполнять абразивом Р120.</w:t>
            </w:r>
          </w:p>
          <w:p w14:paraId="29F937B0" w14:textId="77777777" w:rsidR="00ED37D2" w:rsidRDefault="00ED37D2" w:rsidP="00831811">
            <w:pPr>
              <w:pStyle w:val="afe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3A964AD" w14:textId="77777777" w:rsidR="00ED37D2" w:rsidRDefault="00ED37D2" w:rsidP="008318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7579"/>
      </w:tblGrid>
      <w:tr w:rsidR="00ED37D2" w14:paraId="7BB4F000" w14:textId="77777777">
        <w:trPr>
          <w:trHeight w:val="784"/>
        </w:trPr>
        <w:tc>
          <w:tcPr>
            <w:tcW w:w="2371" w:type="dxa"/>
          </w:tcPr>
          <w:p w14:paraId="54881464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Предварительная </w:t>
            </w:r>
          </w:p>
          <w:p w14:paraId="03832E7A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обработка</w:t>
            </w:r>
          </w:p>
        </w:tc>
        <w:tc>
          <w:tcPr>
            <w:tcW w:w="7579" w:type="dxa"/>
          </w:tcPr>
          <w:p w14:paraId="5A9AB23F" w14:textId="77777777" w:rsidR="00ED37D2" w:rsidRDefault="00831811" w:rsidP="00831811">
            <w:pPr>
              <w:pStyle w:val="afe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Для улучшения</w:t>
            </w:r>
            <w:r w:rsidR="007840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защитных свойств покрытия рекомендуется перед окраской обработать поверхность Грунтом-антисептиком </w:t>
            </w:r>
            <w:r w:rsidR="007840A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DUSBERG</w:t>
            </w:r>
            <w:r w:rsidR="007840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1110 или Грунтом для дерева </w:t>
            </w:r>
            <w:r w:rsidR="007840A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DUSBERG</w:t>
            </w:r>
            <w:r w:rsidR="007840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1120. </w:t>
            </w:r>
          </w:p>
        </w:tc>
      </w:tr>
    </w:tbl>
    <w:p w14:paraId="67683D63" w14:textId="77777777" w:rsidR="00ED37D2" w:rsidRDefault="00ED37D2" w:rsidP="008318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7570"/>
      </w:tblGrid>
      <w:tr w:rsidR="00ED37D2" w14:paraId="0A28F64D" w14:textId="77777777">
        <w:trPr>
          <w:trHeight w:val="354"/>
        </w:trPr>
        <w:tc>
          <w:tcPr>
            <w:tcW w:w="2367" w:type="dxa"/>
          </w:tcPr>
          <w:p w14:paraId="2507F5E1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Условия</w:t>
            </w:r>
          </w:p>
          <w:p w14:paraId="3D707654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использования</w:t>
            </w:r>
          </w:p>
        </w:tc>
        <w:tc>
          <w:tcPr>
            <w:tcW w:w="7570" w:type="dxa"/>
          </w:tcPr>
          <w:p w14:paraId="1E785A32" w14:textId="77777777" w:rsidR="00ED37D2" w:rsidRDefault="007840AB" w:rsidP="00831811">
            <w:pPr>
              <w:pStyle w:val="afe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производить окраску при воздействии прямых солнечных л</w:t>
            </w:r>
            <w:r w:rsidR="00831811">
              <w:rPr>
                <w:rFonts w:ascii="Arial" w:hAnsi="Arial" w:cs="Arial"/>
                <w:sz w:val="18"/>
                <w:szCs w:val="18"/>
              </w:rPr>
              <w:t xml:space="preserve">учей, температуре ниже +10 °С, </w:t>
            </w:r>
            <w:r>
              <w:rPr>
                <w:rFonts w:ascii="Arial" w:hAnsi="Arial" w:cs="Arial"/>
                <w:sz w:val="18"/>
                <w:szCs w:val="18"/>
              </w:rPr>
              <w:t>риске дождя или ночных заморозков.</w:t>
            </w:r>
          </w:p>
        </w:tc>
      </w:tr>
    </w:tbl>
    <w:p w14:paraId="607D9C0C" w14:textId="77777777" w:rsidR="00ED37D2" w:rsidRDefault="00ED37D2" w:rsidP="008318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7634"/>
      </w:tblGrid>
      <w:tr w:rsidR="00ED37D2" w14:paraId="783E9E77" w14:textId="77777777">
        <w:trPr>
          <w:trHeight w:val="490"/>
        </w:trPr>
        <w:tc>
          <w:tcPr>
            <w:tcW w:w="2389" w:type="dxa"/>
          </w:tcPr>
          <w:p w14:paraId="4DD85B6A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Разбавление</w:t>
            </w:r>
          </w:p>
        </w:tc>
        <w:tc>
          <w:tcPr>
            <w:tcW w:w="7634" w:type="dxa"/>
          </w:tcPr>
          <w:p w14:paraId="0037D04C" w14:textId="77777777" w:rsidR="00ED37D2" w:rsidRDefault="007840AB" w:rsidP="00831811">
            <w:pPr>
              <w:pStyle w:val="af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Продукт полностью готов к применению и не требует разбавления.</w:t>
            </w:r>
          </w:p>
        </w:tc>
      </w:tr>
    </w:tbl>
    <w:p w14:paraId="1552378A" w14:textId="77777777" w:rsidR="00ED37D2" w:rsidRDefault="00ED37D2" w:rsidP="008318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7567"/>
      </w:tblGrid>
      <w:tr w:rsidR="00ED37D2" w14:paraId="4F9D3544" w14:textId="77777777">
        <w:trPr>
          <w:trHeight w:val="1397"/>
        </w:trPr>
        <w:tc>
          <w:tcPr>
            <w:tcW w:w="2368" w:type="dxa"/>
          </w:tcPr>
          <w:p w14:paraId="0E29782F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</w:t>
            </w:r>
          </w:p>
        </w:tc>
        <w:tc>
          <w:tcPr>
            <w:tcW w:w="7567" w:type="dxa"/>
          </w:tcPr>
          <w:p w14:paraId="67F46EC0" w14:textId="77777777" w:rsidR="00ED37D2" w:rsidRDefault="007840AB" w:rsidP="00831811">
            <w:pPr>
              <w:pStyle w:val="af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Цветные продукты из разных партий следует смешать друг другом, чтобы не допустить различий в оттенке.</w:t>
            </w:r>
          </w:p>
          <w:p w14:paraId="2749A720" w14:textId="77777777" w:rsidR="00ED37D2" w:rsidRDefault="007840AB" w:rsidP="00831811">
            <w:pPr>
              <w:pStyle w:val="af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Масло тщательно перемешать и нанести на поверхность кистью равномерным тонким слоем вдоль волокон древесины. После высыхания нанести второй слой аналогичным способом. Для наилучшей защиты от УФ-лучей и окраске сильно впитывающих поверхностей рекомендуется нанесение третьего слоя.</w:t>
            </w:r>
          </w:p>
        </w:tc>
      </w:tr>
    </w:tbl>
    <w:p w14:paraId="5D1145D9" w14:textId="77777777" w:rsidR="00ED37D2" w:rsidRDefault="00ED37D2" w:rsidP="008318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7550"/>
      </w:tblGrid>
      <w:tr w:rsidR="00ED37D2" w14:paraId="77717DFA" w14:textId="77777777">
        <w:trPr>
          <w:trHeight w:val="1818"/>
        </w:trPr>
        <w:tc>
          <w:tcPr>
            <w:tcW w:w="2363" w:type="dxa"/>
          </w:tcPr>
          <w:p w14:paraId="7AB16EFE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Обновление</w:t>
            </w:r>
          </w:p>
        </w:tc>
        <w:tc>
          <w:tcPr>
            <w:tcW w:w="7550" w:type="dxa"/>
          </w:tcPr>
          <w:p w14:paraId="03FC0C53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Проверьте и оцените прочность старого покрытия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DUSBERG</w:t>
            </w:r>
            <w:r>
              <w:rPr>
                <w:rFonts w:ascii="Arial" w:hAnsi="Arial" w:cs="Arial"/>
                <w:sz w:val="18"/>
                <w:szCs w:val="18"/>
              </w:rPr>
              <w:t>. В местах с плохой адгезией или отслоением удалите покрытие до основания при помощи наждачной бумаги. Неповрежденные участки следует очистить от грязи и пыли, при необходимости слегка отшлифуйте их. Нанесите новые слои способом, описанным выше. Нанесите от одного до трех слоев, в зависимости от степени износа поверхности. При обновлении поверхности, окрашенной неизвестным продуктом, необходимо предварительно проверить совместимость продукта на малозаметном участке.</w:t>
            </w:r>
          </w:p>
        </w:tc>
      </w:tr>
    </w:tbl>
    <w:p w14:paraId="57FAD801" w14:textId="77777777" w:rsidR="00ED37D2" w:rsidRDefault="00ED37D2" w:rsidP="008318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953"/>
      </w:tblGrid>
      <w:tr w:rsidR="00ED37D2" w14:paraId="1924C606" w14:textId="77777777">
        <w:trPr>
          <w:trHeight w:val="331"/>
        </w:trPr>
        <w:tc>
          <w:tcPr>
            <w:tcW w:w="2358" w:type="dxa"/>
          </w:tcPr>
          <w:p w14:paraId="4D3D85B0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инструмента</w:t>
            </w:r>
          </w:p>
        </w:tc>
        <w:tc>
          <w:tcPr>
            <w:tcW w:w="6953" w:type="dxa"/>
          </w:tcPr>
          <w:p w14:paraId="4C3E9D49" w14:textId="77777777" w:rsidR="00ED37D2" w:rsidRDefault="007840AB" w:rsidP="00831811">
            <w:pPr>
              <w:pStyle w:val="aff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Сразу после использования промыть растворителем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нефрас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уайт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-спирит, керосин «Галоша»). Во время длительных перерывов опускайте инструменты в растворитель.</w:t>
            </w:r>
          </w:p>
        </w:tc>
      </w:tr>
    </w:tbl>
    <w:p w14:paraId="32CD991D" w14:textId="77777777" w:rsidR="00ED37D2" w:rsidRDefault="00ED37D2" w:rsidP="008318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7567"/>
      </w:tblGrid>
      <w:tr w:rsidR="00ED37D2" w14:paraId="0048ABA5" w14:textId="77777777">
        <w:trPr>
          <w:trHeight w:val="1818"/>
        </w:trPr>
        <w:tc>
          <w:tcPr>
            <w:tcW w:w="2368" w:type="dxa"/>
          </w:tcPr>
          <w:p w14:paraId="1477CB93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</w:t>
            </w:r>
          </w:p>
          <w:p w14:paraId="52C9784E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предосторожности</w:t>
            </w:r>
          </w:p>
        </w:tc>
        <w:tc>
          <w:tcPr>
            <w:tcW w:w="7567" w:type="dxa"/>
          </w:tcPr>
          <w:p w14:paraId="16192121" w14:textId="77777777" w:rsidR="00ED37D2" w:rsidRDefault="007840AB" w:rsidP="00831811">
            <w:pPr>
              <w:tabs>
                <w:tab w:val="left" w:pos="8222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Не давать детям!</w:t>
            </w:r>
          </w:p>
          <w:p w14:paraId="5D18ABD4" w14:textId="77777777" w:rsidR="00ED37D2" w:rsidRDefault="007840AB" w:rsidP="00831811">
            <w:pPr>
              <w:tabs>
                <w:tab w:val="left" w:pos="8222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Использовать защитные перчатки, одежду и средства защиты глаз. Обеспечить хорошую вентиляцию во время проведения работ и высыхания продукта. Пропитанная натуральными маслами ткань и шлифовальная пыль могут самовоспламениться из-за выделяемого при высыхании масел тепла</w:t>
            </w:r>
            <w:r>
              <w:rPr>
                <w:rFonts w:ascii="Arial" w:eastAsia="OpenSans" w:hAnsi="Arial" w:cs="Arial"/>
                <w:color w:val="000000" w:themeColor="text1"/>
                <w:sz w:val="18"/>
                <w:szCs w:val="18"/>
              </w:rPr>
              <w:t>, поэтому пропитанные маслом ткань, губки и малярный инструмент следует высушить в расправленном виде на негорючей поверхности или замочить в контейнере с водой, затем утилизировать.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При использовании натуральных красок из масел возможны типичное для продукта пожелтение поверхности, а также характерный запах.</w:t>
            </w:r>
          </w:p>
          <w:p w14:paraId="1684D0BD" w14:textId="77777777" w:rsidR="00ED37D2" w:rsidRDefault="007840AB" w:rsidP="00831811">
            <w:pPr>
              <w:tabs>
                <w:tab w:val="left" w:pos="8222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Всегда производите пробный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выкрас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!</w:t>
            </w:r>
          </w:p>
        </w:tc>
      </w:tr>
    </w:tbl>
    <w:p w14:paraId="7EED8944" w14:textId="77777777" w:rsidR="00ED37D2" w:rsidRDefault="00ED37D2" w:rsidP="008318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7550"/>
      </w:tblGrid>
      <w:tr w:rsidR="00ED37D2" w14:paraId="1E58506C" w14:textId="77777777">
        <w:trPr>
          <w:trHeight w:val="1000"/>
        </w:trPr>
        <w:tc>
          <w:tcPr>
            <w:tcW w:w="2363" w:type="dxa"/>
          </w:tcPr>
          <w:p w14:paraId="79B7FBF9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Утилизация</w:t>
            </w:r>
          </w:p>
        </w:tc>
        <w:tc>
          <w:tcPr>
            <w:tcW w:w="7550" w:type="dxa"/>
          </w:tcPr>
          <w:p w14:paraId="224A7ADE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выбрасывайте остатки краски или растворителя в канализацию или почву! Полностью высохшие остатки продукта можно утилизировать вместе с бытовыми или остаточными отходами; пустые банки (белая жесть) подходят для вторичной переработки.</w:t>
            </w:r>
          </w:p>
        </w:tc>
      </w:tr>
    </w:tbl>
    <w:p w14:paraId="3D11F46F" w14:textId="77777777" w:rsidR="00ED37D2" w:rsidRDefault="00ED37D2" w:rsidP="00831811">
      <w:pPr>
        <w:rPr>
          <w:rFonts w:ascii="Arial" w:hAnsi="Arial" w:cs="Arial"/>
          <w:sz w:val="10"/>
          <w:szCs w:val="10"/>
        </w:rPr>
      </w:pPr>
    </w:p>
    <w:p w14:paraId="74DB1ED0" w14:textId="77777777" w:rsidR="00ED37D2" w:rsidRDefault="00ED37D2" w:rsidP="00831811">
      <w:pPr>
        <w:rPr>
          <w:rFonts w:ascii="Arial" w:hAnsi="Arial" w:cs="Arial"/>
          <w:sz w:val="18"/>
          <w:szCs w:val="18"/>
        </w:rPr>
      </w:pPr>
    </w:p>
    <w:p w14:paraId="1539FF43" w14:textId="77777777" w:rsidR="00ED37D2" w:rsidRDefault="00ED37D2" w:rsidP="00831811">
      <w:pPr>
        <w:rPr>
          <w:rFonts w:ascii="Arial" w:hAnsi="Arial" w:cs="Arial"/>
          <w:sz w:val="18"/>
          <w:szCs w:val="18"/>
        </w:rPr>
        <w:sectPr w:rsidR="00ED37D2">
          <w:headerReference w:type="default" r:id="rId8"/>
          <w:footerReference w:type="default" r:id="rId9"/>
          <w:type w:val="continuous"/>
          <w:pgSz w:w="11906" w:h="16838"/>
          <w:pgMar w:top="851" w:right="284" w:bottom="567" w:left="1134" w:header="283" w:footer="0" w:gutter="0"/>
          <w:cols w:space="708"/>
          <w:docGrid w:linePitch="360"/>
        </w:sectPr>
      </w:pPr>
    </w:p>
    <w:tbl>
      <w:tblPr>
        <w:tblStyle w:val="af6"/>
        <w:tblW w:w="9967" w:type="dxa"/>
        <w:tblInd w:w="-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ED37D2" w14:paraId="02449D5A" w14:textId="77777777">
        <w:trPr>
          <w:trHeight w:val="451"/>
        </w:trPr>
        <w:tc>
          <w:tcPr>
            <w:tcW w:w="9967" w:type="dxa"/>
          </w:tcPr>
          <w:p w14:paraId="6D025DD1" w14:textId="77777777" w:rsidR="00ED37D2" w:rsidRDefault="007840AB" w:rsidP="00831811">
            <w:pPr>
              <w:pStyle w:val="aff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Произведено в соответствии с ТУ ТУ20.30.22-002-44002945-2022. </w:t>
            </w:r>
          </w:p>
          <w:p w14:paraId="0ED608C6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Рекомендации в данном техническом паспорте являются результатом исследований и практического применения. Они предназначены только для информационных целей и не являются гарантией производителя. Пользователь должен проверить продукты на предмет их пригодности для предполагаемого использования. Ответственность производителя ограничивается качеством продукта и однозначно исключает ответственность за неправильное использование. Все общие строительные Правила и Нормы должны быть соблюдены потребителем. Потребителю следует ознакомиться со всеми соответствующими правилами и нормами прежде, чем приступить к работе и использованию данной продукции. Результаты в различных условиях внешней среды могут отличаться.</w:t>
            </w:r>
          </w:p>
          <w:p w14:paraId="441B527F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использовании натуральных красок возможны типичное для продукта естественное пожелтение покрытия, а также характерный запах. Цветная лазурь может слегка стираться в первые несколько дней после нанесения.</w:t>
            </w:r>
          </w:p>
          <w:p w14:paraId="67389F50" w14:textId="77777777" w:rsidR="00ED37D2" w:rsidRDefault="007840AB" w:rsidP="00831811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Актуальная редакция от 16.12.2022 г.</w:t>
            </w:r>
          </w:p>
        </w:tc>
      </w:tr>
    </w:tbl>
    <w:p w14:paraId="1D553EA5" w14:textId="77777777" w:rsidR="00ED37D2" w:rsidRDefault="00ED37D2" w:rsidP="00831811">
      <w:pPr>
        <w:tabs>
          <w:tab w:val="left" w:pos="4050"/>
        </w:tabs>
        <w:spacing w:after="0"/>
        <w:rPr>
          <w:rFonts w:ascii="Arial" w:hAnsi="Arial" w:cs="Arial"/>
          <w:sz w:val="18"/>
          <w:szCs w:val="18"/>
        </w:rPr>
      </w:pPr>
    </w:p>
    <w:p w14:paraId="6A50F537" w14:textId="4C68AE7E" w:rsidR="00ED37D2" w:rsidRDefault="00ED37D2" w:rsidP="00831811">
      <w:pPr>
        <w:tabs>
          <w:tab w:val="left" w:pos="4050"/>
        </w:tabs>
        <w:rPr>
          <w:rFonts w:ascii="Arial" w:hAnsi="Arial" w:cs="Arial"/>
          <w:sz w:val="18"/>
          <w:szCs w:val="18"/>
        </w:rPr>
      </w:pPr>
    </w:p>
    <w:p w14:paraId="66FAE7DF" w14:textId="429E3685" w:rsidR="005E240B" w:rsidRDefault="005E240B" w:rsidP="00831811">
      <w:pPr>
        <w:tabs>
          <w:tab w:val="left" w:pos="4050"/>
        </w:tabs>
        <w:rPr>
          <w:rFonts w:ascii="Arial" w:hAnsi="Arial" w:cs="Arial"/>
          <w:sz w:val="18"/>
          <w:szCs w:val="18"/>
        </w:rPr>
      </w:pPr>
    </w:p>
    <w:p w14:paraId="4A9E645B" w14:textId="397CE14F" w:rsidR="005E240B" w:rsidRDefault="005E240B" w:rsidP="00831811">
      <w:pPr>
        <w:tabs>
          <w:tab w:val="left" w:pos="4050"/>
        </w:tabs>
        <w:rPr>
          <w:rFonts w:ascii="Arial" w:hAnsi="Arial" w:cs="Arial"/>
          <w:sz w:val="18"/>
          <w:szCs w:val="18"/>
        </w:rPr>
      </w:pPr>
    </w:p>
    <w:p w14:paraId="06DC5CE8" w14:textId="4EE4F584" w:rsidR="005E240B" w:rsidRDefault="005E240B" w:rsidP="00831811">
      <w:pPr>
        <w:tabs>
          <w:tab w:val="left" w:pos="4050"/>
        </w:tabs>
        <w:rPr>
          <w:rFonts w:ascii="Arial" w:hAnsi="Arial" w:cs="Arial"/>
          <w:sz w:val="18"/>
          <w:szCs w:val="18"/>
        </w:rPr>
      </w:pPr>
    </w:p>
    <w:p w14:paraId="40AB9C80" w14:textId="129FA249" w:rsidR="005E240B" w:rsidRDefault="005E240B" w:rsidP="00831811">
      <w:pPr>
        <w:tabs>
          <w:tab w:val="left" w:pos="4050"/>
        </w:tabs>
        <w:rPr>
          <w:rFonts w:ascii="Arial" w:hAnsi="Arial" w:cs="Arial"/>
          <w:sz w:val="18"/>
          <w:szCs w:val="18"/>
        </w:rPr>
      </w:pPr>
    </w:p>
    <w:p w14:paraId="11217E73" w14:textId="4CFCB088" w:rsidR="005E240B" w:rsidRDefault="005E240B" w:rsidP="00831811">
      <w:pPr>
        <w:tabs>
          <w:tab w:val="left" w:pos="4050"/>
        </w:tabs>
        <w:rPr>
          <w:rFonts w:ascii="Arial" w:hAnsi="Arial" w:cs="Arial"/>
          <w:sz w:val="18"/>
          <w:szCs w:val="18"/>
        </w:rPr>
      </w:pPr>
    </w:p>
    <w:p w14:paraId="150D3870" w14:textId="373ACACC" w:rsidR="005E240B" w:rsidRDefault="005E240B" w:rsidP="00831811">
      <w:pPr>
        <w:tabs>
          <w:tab w:val="left" w:pos="4050"/>
        </w:tabs>
        <w:rPr>
          <w:rFonts w:ascii="Arial" w:hAnsi="Arial" w:cs="Arial"/>
          <w:sz w:val="18"/>
          <w:szCs w:val="18"/>
        </w:rPr>
      </w:pPr>
    </w:p>
    <w:p w14:paraId="6582D118" w14:textId="328AE371" w:rsidR="005E240B" w:rsidRPr="005E240B" w:rsidRDefault="005E240B" w:rsidP="00831811">
      <w:pPr>
        <w:tabs>
          <w:tab w:val="left" w:pos="4050"/>
        </w:tabs>
        <w:rPr>
          <w:rFonts w:ascii="Arial" w:hAnsi="Arial" w:cs="Arial"/>
          <w:b/>
          <w:bCs/>
          <w:sz w:val="32"/>
          <w:szCs w:val="32"/>
        </w:rPr>
      </w:pPr>
      <w:r w:rsidRPr="005E240B">
        <w:rPr>
          <w:rFonts w:ascii="Arial" w:hAnsi="Arial" w:cs="Arial"/>
          <w:b/>
          <w:bCs/>
          <w:sz w:val="32"/>
          <w:szCs w:val="32"/>
        </w:rPr>
        <w:t>ЭТИКЕТКА!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54"/>
      </w:tblGrid>
      <w:tr w:rsidR="005E240B" w14:paraId="21617B81" w14:textId="77777777" w:rsidTr="004729B9">
        <w:tc>
          <w:tcPr>
            <w:tcW w:w="5670" w:type="dxa"/>
          </w:tcPr>
          <w:p w14:paraId="404B6E2F" w14:textId="77777777" w:rsidR="005E240B" w:rsidRDefault="005E240B" w:rsidP="004729B9">
            <w:pPr>
              <w:pStyle w:val="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Арт.№ 2130</w:t>
            </w:r>
          </w:p>
          <w:p w14:paraId="28CEE5A1" w14:textId="77777777" w:rsidR="005E240B" w:rsidRDefault="005E240B" w:rsidP="004729B9">
            <w:pPr>
              <w:pStyle w:val="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Масло для древесно-полимерного композита</w:t>
            </w:r>
          </w:p>
          <w:p w14:paraId="244C2230" w14:textId="77777777" w:rsidR="005E240B" w:rsidRDefault="005E240B" w:rsidP="004729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Для наружных работ</w:t>
            </w:r>
          </w:p>
          <w:p w14:paraId="17C856F8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dxa"/>
          </w:tcPr>
          <w:p w14:paraId="7BBD1F2A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CBD769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E240B" w14:paraId="41C4C463" w14:textId="77777777" w:rsidTr="004729B9">
        <w:tc>
          <w:tcPr>
            <w:tcW w:w="2268" w:type="dxa"/>
            <w:vAlign w:val="center"/>
          </w:tcPr>
          <w:p w14:paraId="2E139EED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Данные о продукте</w:t>
            </w:r>
          </w:p>
        </w:tc>
      </w:tr>
    </w:tbl>
    <w:p w14:paraId="34AEDF16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8"/>
          <w:szCs w:val="18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7628"/>
      </w:tblGrid>
      <w:tr w:rsidR="005E240B" w14:paraId="6569AB9C" w14:textId="77777777" w:rsidTr="004729B9">
        <w:trPr>
          <w:trHeight w:val="1313"/>
        </w:trPr>
        <w:tc>
          <w:tcPr>
            <w:tcW w:w="2379" w:type="dxa"/>
          </w:tcPr>
          <w:p w14:paraId="33B10FA8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Описание</w:t>
            </w:r>
          </w:p>
          <w:p w14:paraId="2AB27082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92E1DA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</w:tcPr>
          <w:p w14:paraId="0FEF2BA2" w14:textId="27D2EB47" w:rsidR="005E240B" w:rsidRDefault="005E240B" w:rsidP="004729B9">
            <w:pPr>
              <w:pStyle w:val="afe"/>
              <w:rPr>
                <w:rFonts w:ascii="Arial" w:eastAsia="OpenSan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DUSBERG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Масло для древесно-полимерного композита (ДПК) </w:t>
            </w:r>
            <w:r>
              <w:rPr>
                <w:rFonts w:ascii="Arial" w:hAnsi="Arial" w:cs="Arial"/>
                <w:sz w:val="18"/>
                <w:szCs w:val="18"/>
              </w:rPr>
              <w:t>– специальное масло из</w:t>
            </w:r>
            <w:r w:rsidR="00F16BD4">
              <w:rPr>
                <w:rFonts w:ascii="Arial" w:hAnsi="Arial" w:cs="Arial"/>
                <w:sz w:val="18"/>
                <w:szCs w:val="18"/>
              </w:rPr>
              <w:t xml:space="preserve"> высококачественных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натуральных масел и смол</w:t>
            </w:r>
            <w:r>
              <w:rPr>
                <w:rFonts w:ascii="Arial" w:eastAsia="OpenSans" w:hAnsi="Arial" w:cs="Arial"/>
                <w:color w:val="191919"/>
                <w:sz w:val="18"/>
                <w:szCs w:val="18"/>
              </w:rPr>
              <w:t xml:space="preserve"> для защиты и обновления террас, настилов, причалов и садовой мебели из ДПК</w:t>
            </w:r>
            <w:r w:rsidR="00737F32">
              <w:rPr>
                <w:rFonts w:ascii="Arial" w:eastAsia="OpenSans" w:hAnsi="Arial" w:cs="Arial"/>
                <w:color w:val="191919"/>
                <w:sz w:val="18"/>
                <w:szCs w:val="18"/>
              </w:rPr>
              <w:t xml:space="preserve">.  </w:t>
            </w:r>
            <w:r w:rsidR="00737F32">
              <w:rPr>
                <w:rFonts w:ascii="Arial" w:eastAsia="OpenSans" w:hAnsi="Arial" w:cs="Arial"/>
                <w:color w:val="191919"/>
                <w:sz w:val="18"/>
                <w:szCs w:val="18"/>
              </w:rPr>
              <w:t>Предотвращает преждевременное потускнение цвета и старение поверхности.</w:t>
            </w:r>
            <w:r w:rsidR="00737F32">
              <w:rPr>
                <w:rFonts w:ascii="Arial" w:eastAsia="OpenSans" w:hAnsi="Arial" w:cs="Arial"/>
                <w:color w:val="191919"/>
                <w:sz w:val="18"/>
                <w:szCs w:val="18"/>
              </w:rPr>
              <w:t xml:space="preserve"> </w:t>
            </w:r>
            <w:r>
              <w:rPr>
                <w:rFonts w:ascii="Arial" w:eastAsia="OpenSans" w:hAnsi="Arial" w:cs="Arial"/>
                <w:color w:val="191919"/>
                <w:sz w:val="18"/>
                <w:szCs w:val="18"/>
              </w:rPr>
              <w:t xml:space="preserve">Проникает в структуру ДПК, защищает от воздействия УФ-лучей, осадков и загрязнений. При обновлении восстанавливает цвет ДПК до оригинального. Придает поверхности шелковистый блеск. </w:t>
            </w:r>
          </w:p>
        </w:tc>
      </w:tr>
    </w:tbl>
    <w:p w14:paraId="21E95DA2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7622"/>
      </w:tblGrid>
      <w:tr w:rsidR="005E240B" w14:paraId="48226749" w14:textId="77777777" w:rsidTr="004729B9">
        <w:trPr>
          <w:trHeight w:val="514"/>
        </w:trPr>
        <w:tc>
          <w:tcPr>
            <w:tcW w:w="2385" w:type="dxa"/>
          </w:tcPr>
          <w:p w14:paraId="10B9E127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Назначение</w:t>
            </w:r>
          </w:p>
          <w:p w14:paraId="45FF4BB7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88E4F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2" w:type="dxa"/>
          </w:tcPr>
          <w:p w14:paraId="59485CF1" w14:textId="517ED81E" w:rsidR="005E240B" w:rsidRDefault="005E240B" w:rsidP="004729B9">
            <w:pPr>
              <w:pStyle w:val="af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Для защиты и обновления </w:t>
            </w:r>
            <w:r>
              <w:rPr>
                <w:rFonts w:ascii="Arial" w:eastAsia="OpenSans" w:hAnsi="Arial" w:cs="Arial"/>
                <w:color w:val="191919"/>
                <w:sz w:val="18"/>
                <w:szCs w:val="18"/>
              </w:rPr>
              <w:t>террас, настилов, причалов и садовой мебели из ДПК.</w:t>
            </w:r>
          </w:p>
        </w:tc>
      </w:tr>
    </w:tbl>
    <w:p w14:paraId="6AE13E46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584"/>
      </w:tblGrid>
      <w:tr w:rsidR="005E240B" w14:paraId="7B33699B" w14:textId="77777777" w:rsidTr="004729B9">
        <w:trPr>
          <w:trHeight w:val="527"/>
        </w:trPr>
        <w:tc>
          <w:tcPr>
            <w:tcW w:w="2373" w:type="dxa"/>
          </w:tcPr>
          <w:p w14:paraId="5E1EECB4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</w:t>
            </w:r>
          </w:p>
          <w:p w14:paraId="636B972C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4" w:type="dxa"/>
          </w:tcPr>
          <w:p w14:paraId="31934E66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Термически обработанная смесь натуральных масел и канифоли, алифатические углеводороды, сиккативы без свинца и кобальта.</w:t>
            </w:r>
          </w:p>
        </w:tc>
      </w:tr>
    </w:tbl>
    <w:p w14:paraId="7E67553E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7577"/>
      </w:tblGrid>
      <w:tr w:rsidR="005E240B" w14:paraId="06823909" w14:textId="77777777" w:rsidTr="004729B9">
        <w:trPr>
          <w:trHeight w:val="199"/>
        </w:trPr>
        <w:tc>
          <w:tcPr>
            <w:tcW w:w="2371" w:type="dxa"/>
            <w:vAlign w:val="center"/>
          </w:tcPr>
          <w:p w14:paraId="5D3E2821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</w:t>
            </w:r>
          </w:p>
        </w:tc>
        <w:tc>
          <w:tcPr>
            <w:tcW w:w="7577" w:type="dxa"/>
          </w:tcPr>
          <w:p w14:paraId="34965687" w14:textId="49BBAFF6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Бесцветный</w:t>
            </w:r>
          </w:p>
        </w:tc>
      </w:tr>
    </w:tbl>
    <w:p w14:paraId="4CD2C664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7564"/>
      </w:tblGrid>
      <w:tr w:rsidR="005E240B" w14:paraId="6E90A8E6" w14:textId="77777777" w:rsidTr="004729B9">
        <w:trPr>
          <w:trHeight w:val="163"/>
        </w:trPr>
        <w:tc>
          <w:tcPr>
            <w:tcW w:w="2367" w:type="dxa"/>
            <w:vAlign w:val="center"/>
          </w:tcPr>
          <w:p w14:paraId="4D11C60A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Степень блеска</w:t>
            </w:r>
          </w:p>
        </w:tc>
        <w:tc>
          <w:tcPr>
            <w:tcW w:w="7564" w:type="dxa"/>
          </w:tcPr>
          <w:p w14:paraId="3DE7540F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Шелковистый блеск.</w:t>
            </w:r>
          </w:p>
        </w:tc>
      </w:tr>
    </w:tbl>
    <w:p w14:paraId="3EAC7D82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7564"/>
      </w:tblGrid>
      <w:tr w:rsidR="005E240B" w14:paraId="43964E32" w14:textId="77777777" w:rsidTr="004729B9">
        <w:trPr>
          <w:trHeight w:val="182"/>
        </w:trPr>
        <w:tc>
          <w:tcPr>
            <w:tcW w:w="2367" w:type="dxa"/>
            <w:vAlign w:val="center"/>
          </w:tcPr>
          <w:p w14:paraId="7A57CB1A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</w:t>
            </w:r>
          </w:p>
        </w:tc>
        <w:tc>
          <w:tcPr>
            <w:tcW w:w="7564" w:type="dxa"/>
          </w:tcPr>
          <w:p w14:paraId="15178D59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 л, 2 л, 10 л.</w:t>
            </w:r>
          </w:p>
        </w:tc>
      </w:tr>
    </w:tbl>
    <w:p w14:paraId="7842BD36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9"/>
        <w:gridCol w:w="7157"/>
        <w:gridCol w:w="376"/>
      </w:tblGrid>
      <w:tr w:rsidR="005E240B" w14:paraId="2B37F650" w14:textId="77777777" w:rsidTr="004729B9">
        <w:trPr>
          <w:trHeight w:val="1261"/>
        </w:trPr>
        <w:tc>
          <w:tcPr>
            <w:tcW w:w="2357" w:type="dxa"/>
            <w:gridSpan w:val="2"/>
          </w:tcPr>
          <w:p w14:paraId="3361B3C8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Хранение</w:t>
            </w:r>
          </w:p>
        </w:tc>
        <w:tc>
          <w:tcPr>
            <w:tcW w:w="7533" w:type="dxa"/>
            <w:gridSpan w:val="2"/>
          </w:tcPr>
          <w:p w14:paraId="463AE08A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Хранить в недоступном для детей месте в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плотно закрытой таре при температуре не ниже +5 °С, предохраняя от воздействия влаги, источников тепла и прямых солнечных лучей. </w:t>
            </w:r>
            <w:r>
              <w:rPr>
                <w:rFonts w:ascii="Arial" w:hAnsi="Arial" w:cs="Arial"/>
                <w:sz w:val="18"/>
                <w:szCs w:val="18"/>
              </w:rPr>
              <w:t xml:space="preserve">Срок годности продукта в невскрытой таре – 5 лет с даты изготовления. Дату изготовления (месяц, год, номер партии) смотреть на таре. </w:t>
            </w:r>
          </w:p>
          <w:p w14:paraId="5BC4E2A7" w14:textId="0932CF3E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длительном хранении продукта после использования, во избежание образования пленки на поверхности продукта, рекомендуется перелить краску в емкость меньшего объема</w:t>
            </w:r>
            <w:r w:rsidR="00F16B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 плотно закрыть крышкой.</w:t>
            </w:r>
          </w:p>
        </w:tc>
      </w:tr>
      <w:tr w:rsidR="005E240B" w14:paraId="426F24C9" w14:textId="77777777" w:rsidTr="004729B9">
        <w:trPr>
          <w:gridAfter w:val="1"/>
          <w:wAfter w:w="376" w:type="dxa"/>
        </w:trPr>
        <w:tc>
          <w:tcPr>
            <w:tcW w:w="2268" w:type="dxa"/>
            <w:vAlign w:val="center"/>
          </w:tcPr>
          <w:p w14:paraId="1CF12625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Технические данные</w:t>
            </w:r>
          </w:p>
        </w:tc>
        <w:tc>
          <w:tcPr>
            <w:tcW w:w="7246" w:type="dxa"/>
            <w:gridSpan w:val="2"/>
          </w:tcPr>
          <w:p w14:paraId="6A510D11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E3042B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953"/>
      </w:tblGrid>
      <w:tr w:rsidR="005E240B" w14:paraId="53680473" w14:textId="77777777" w:rsidTr="004729B9">
        <w:trPr>
          <w:trHeight w:val="109"/>
        </w:trPr>
        <w:tc>
          <w:tcPr>
            <w:tcW w:w="2358" w:type="dxa"/>
          </w:tcPr>
          <w:p w14:paraId="6C23B498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</w:t>
            </w:r>
          </w:p>
        </w:tc>
        <w:tc>
          <w:tcPr>
            <w:tcW w:w="6953" w:type="dxa"/>
          </w:tcPr>
          <w:p w14:paraId="30D4164B" w14:textId="77777777" w:rsidR="005E240B" w:rsidRDefault="005E240B" w:rsidP="004729B9">
            <w:pPr>
              <w:pStyle w:val="aff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Для нормально впитывающего основания 21 м2/л в 1 слой и 12 м2/л в 2 слоя. </w:t>
            </w:r>
          </w:p>
        </w:tc>
      </w:tr>
    </w:tbl>
    <w:p w14:paraId="587F9B60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0"/>
          <w:szCs w:val="10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7482"/>
      </w:tblGrid>
      <w:tr w:rsidR="005E240B" w14:paraId="4963BD48" w14:textId="77777777" w:rsidTr="004729B9">
        <w:trPr>
          <w:trHeight w:val="1194"/>
        </w:trPr>
        <w:tc>
          <w:tcPr>
            <w:tcW w:w="2341" w:type="dxa"/>
          </w:tcPr>
          <w:p w14:paraId="3278856C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Время высыхания</w:t>
            </w:r>
          </w:p>
          <w:p w14:paraId="54A34804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0E9BBF" w14:textId="77777777" w:rsidR="005E240B" w:rsidRDefault="005E240B" w:rsidP="00472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2" w:type="dxa"/>
          </w:tcPr>
          <w:p w14:paraId="26799D25" w14:textId="2CDEE3A8" w:rsidR="005E240B" w:rsidRDefault="005E240B" w:rsidP="004729B9">
            <w:pPr>
              <w:pStyle w:val="aff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нормальных условиях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+20 °С и относительной влажности воздуха 55 %) </w:t>
            </w:r>
            <w:r w:rsidR="00014E8A">
              <w:rPr>
                <w:rFonts w:ascii="Arial" w:hAnsi="Arial" w:cs="Arial"/>
                <w:sz w:val="18"/>
                <w:szCs w:val="18"/>
              </w:rPr>
              <w:t xml:space="preserve">поверхность сухая и </w:t>
            </w:r>
            <w:r>
              <w:rPr>
                <w:rFonts w:ascii="Arial" w:hAnsi="Arial" w:cs="Arial"/>
                <w:sz w:val="18"/>
                <w:szCs w:val="18"/>
              </w:rPr>
              <w:t>готов</w:t>
            </w:r>
            <w:r w:rsidR="00014E8A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 к нанесению последующих слоев через 12-16 часов.</w:t>
            </w:r>
          </w:p>
          <w:p w14:paraId="228E551B" w14:textId="77777777" w:rsidR="005E240B" w:rsidRDefault="005E240B" w:rsidP="004729B9">
            <w:pPr>
              <w:pStyle w:val="aff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Окончательную прочность поверхность приобретает через 7-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10  дней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2615025" w14:textId="77777777" w:rsidR="005E240B" w:rsidRDefault="005E240B" w:rsidP="005E240B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46"/>
      </w:tblGrid>
      <w:tr w:rsidR="005E240B" w14:paraId="2AED1D19" w14:textId="77777777" w:rsidTr="004729B9">
        <w:trPr>
          <w:trHeight w:val="87"/>
        </w:trPr>
        <w:tc>
          <w:tcPr>
            <w:tcW w:w="2268" w:type="dxa"/>
          </w:tcPr>
          <w:p w14:paraId="3A4C5EE1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Применение продукта</w:t>
            </w:r>
          </w:p>
        </w:tc>
        <w:tc>
          <w:tcPr>
            <w:tcW w:w="7246" w:type="dxa"/>
          </w:tcPr>
          <w:p w14:paraId="1EE0A380" w14:textId="77777777" w:rsidR="005E240B" w:rsidRDefault="005E240B" w:rsidP="004729B9">
            <w:pPr>
              <w:pStyle w:val="afe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65821961" w14:textId="77777777" w:rsidR="005E240B" w:rsidRDefault="005E240B" w:rsidP="005E240B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1C7D4185" w14:textId="77777777" w:rsidR="005E240B" w:rsidRDefault="005E240B" w:rsidP="005E240B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7570"/>
      </w:tblGrid>
      <w:tr w:rsidR="005E240B" w14:paraId="28192785" w14:textId="77777777" w:rsidTr="004729B9">
        <w:trPr>
          <w:trHeight w:val="354"/>
        </w:trPr>
        <w:tc>
          <w:tcPr>
            <w:tcW w:w="2367" w:type="dxa"/>
          </w:tcPr>
          <w:p w14:paraId="0C474863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Условия</w:t>
            </w:r>
          </w:p>
          <w:p w14:paraId="25B0B2DE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использования</w:t>
            </w:r>
          </w:p>
        </w:tc>
        <w:tc>
          <w:tcPr>
            <w:tcW w:w="7570" w:type="dxa"/>
          </w:tcPr>
          <w:p w14:paraId="06CAAB45" w14:textId="77777777" w:rsidR="005E240B" w:rsidRDefault="005E240B" w:rsidP="004729B9">
            <w:pPr>
              <w:pStyle w:val="afe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производить окраску при воздействии прямых солнечных лучей, температуре ниже +10 °С, риске дождя или ночных заморозков.</w:t>
            </w:r>
          </w:p>
        </w:tc>
      </w:tr>
    </w:tbl>
    <w:p w14:paraId="680DEEA8" w14:textId="77777777" w:rsidR="005E240B" w:rsidRDefault="005E240B" w:rsidP="005E240B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7634"/>
      </w:tblGrid>
      <w:tr w:rsidR="005E240B" w14:paraId="487F6F4A" w14:textId="77777777" w:rsidTr="004729B9">
        <w:trPr>
          <w:trHeight w:val="490"/>
        </w:trPr>
        <w:tc>
          <w:tcPr>
            <w:tcW w:w="2389" w:type="dxa"/>
          </w:tcPr>
          <w:p w14:paraId="79899EF6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Разбавление</w:t>
            </w:r>
          </w:p>
        </w:tc>
        <w:tc>
          <w:tcPr>
            <w:tcW w:w="7634" w:type="dxa"/>
          </w:tcPr>
          <w:p w14:paraId="08041197" w14:textId="6CA366EC" w:rsidR="005E240B" w:rsidRDefault="005E240B" w:rsidP="004729B9">
            <w:pPr>
              <w:pStyle w:val="af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Продукт полностью готов к применению и не требует разбавления.</w:t>
            </w:r>
          </w:p>
          <w:p w14:paraId="53B04FEA" w14:textId="2DF6984E" w:rsidR="00014E8A" w:rsidRDefault="00014E8A" w:rsidP="004729B9">
            <w:pPr>
              <w:pStyle w:val="afe"/>
              <w:rPr>
                <w:rFonts w:ascii="Arial" w:hAnsi="Arial" w:cs="Arial"/>
                <w:sz w:val="18"/>
                <w:szCs w:val="18"/>
              </w:rPr>
            </w:pPr>
          </w:p>
          <w:p w14:paraId="2CB6C02E" w14:textId="77777777" w:rsidR="00014E8A" w:rsidRDefault="00014E8A" w:rsidP="004729B9">
            <w:pPr>
              <w:pStyle w:val="afe"/>
              <w:rPr>
                <w:rFonts w:ascii="Arial" w:hAnsi="Arial" w:cs="Arial"/>
                <w:sz w:val="18"/>
                <w:szCs w:val="18"/>
              </w:rPr>
            </w:pPr>
          </w:p>
          <w:p w14:paraId="2FA42DD7" w14:textId="340B332B" w:rsidR="00014E8A" w:rsidRDefault="00014E8A" w:rsidP="004729B9">
            <w:pPr>
              <w:pStyle w:val="af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DD5015" w14:textId="77777777" w:rsidR="005E240B" w:rsidRDefault="005E240B" w:rsidP="005E240B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7567"/>
      </w:tblGrid>
      <w:tr w:rsidR="005E240B" w14:paraId="1782D79F" w14:textId="77777777" w:rsidTr="004729B9">
        <w:trPr>
          <w:trHeight w:val="1397"/>
        </w:trPr>
        <w:tc>
          <w:tcPr>
            <w:tcW w:w="2368" w:type="dxa"/>
          </w:tcPr>
          <w:p w14:paraId="54562C8A" w14:textId="00B5B9F2" w:rsidR="005E240B" w:rsidRDefault="0060137C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Применение</w:t>
            </w:r>
          </w:p>
        </w:tc>
        <w:tc>
          <w:tcPr>
            <w:tcW w:w="7567" w:type="dxa"/>
          </w:tcPr>
          <w:p w14:paraId="1C12C7AC" w14:textId="38B2532D" w:rsidR="005E240B" w:rsidRDefault="00014E8A" w:rsidP="004729B9">
            <w:pPr>
              <w:pStyle w:val="af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7F32">
              <w:rPr>
                <w:rFonts w:ascii="Arial" w:hAnsi="Arial" w:cs="Arial"/>
                <w:sz w:val="18"/>
                <w:szCs w:val="18"/>
              </w:rPr>
              <w:t xml:space="preserve">Поверхность должна быть сухой, прочной, очищенной от загрязнений, смолы, пыли и жира. </w:t>
            </w:r>
            <w:r w:rsidR="005E240B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>Масло тщательно перемешать</w:t>
            </w:r>
            <w:r w:rsidR="0060137C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в течение 1-3 мин</w:t>
            </w:r>
            <w:r w:rsid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5E240B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>и нанести на поверхность</w:t>
            </w:r>
            <w:r w:rsidR="0060137C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плотной</w:t>
            </w:r>
            <w:r w:rsidR="005E240B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кистью</w:t>
            </w:r>
            <w:r w:rsidR="00737F32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очень тонким</w:t>
            </w:r>
            <w:r w:rsidR="005E240B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равномерным слоем.</w:t>
            </w:r>
            <w:r w:rsidR="00F16BD4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Через </w:t>
            </w:r>
            <w:r w:rsidR="00737F32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5-10 </w:t>
            </w:r>
            <w:r w:rsidR="00F16BD4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мин. </w:t>
            </w:r>
            <w:r w:rsidR="006376E2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>н</w:t>
            </w:r>
            <w:r w:rsidR="00F16BD4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евпитавшиеся излишки масла </w:t>
            </w:r>
            <w:r w:rsidR="0060137C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>удалить</w:t>
            </w:r>
            <w:r w:rsidR="00F16BD4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сухой кистью</w:t>
            </w:r>
            <w:r w:rsidR="0060137C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или тканью</w:t>
            </w:r>
            <w:r w:rsidR="00F16BD4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5E240B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После высыхания </w:t>
            </w:r>
            <w:r w:rsidR="00737F32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при необходимости </w:t>
            </w:r>
            <w:r w:rsidR="005E240B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нанести второй слой аналогичным способом.</w:t>
            </w:r>
            <w:r w:rsidR="006376E2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0137C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Для обновления поверхности достаточно одного слоя масла. </w:t>
            </w:r>
            <w:r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На открытых площадках обновление следует производить не реже одного раза в год. </w:t>
            </w:r>
            <w:r w:rsidR="00737F32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>В зависимости от качества поверхности ДПК</w:t>
            </w:r>
            <w:r w:rsidR="006376E2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расход </w:t>
            </w:r>
            <w:r w:rsidR="00855F80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масла </w:t>
            </w:r>
            <w:r w:rsidR="006376E2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может </w:t>
            </w:r>
            <w:r w:rsidR="00737F32" w:rsidRPr="00737F32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отличаться от заявленного.</w:t>
            </w:r>
          </w:p>
        </w:tc>
      </w:tr>
    </w:tbl>
    <w:p w14:paraId="1196A2D7" w14:textId="77777777" w:rsidR="005E240B" w:rsidRDefault="005E240B" w:rsidP="005E240B">
      <w:pPr>
        <w:spacing w:after="0"/>
        <w:rPr>
          <w:rFonts w:ascii="Arial" w:hAnsi="Arial" w:cs="Arial"/>
          <w:sz w:val="10"/>
          <w:szCs w:val="10"/>
        </w:rPr>
      </w:pPr>
    </w:p>
    <w:p w14:paraId="6ABC0873" w14:textId="77777777" w:rsidR="005E240B" w:rsidRDefault="005E240B" w:rsidP="005E240B">
      <w:pPr>
        <w:spacing w:after="0"/>
        <w:rPr>
          <w:rFonts w:ascii="Arial" w:hAnsi="Arial" w:cs="Arial"/>
          <w:sz w:val="10"/>
          <w:szCs w:val="10"/>
        </w:rPr>
      </w:pPr>
    </w:p>
    <w:p w14:paraId="23C6732C" w14:textId="77777777" w:rsidR="005E240B" w:rsidRDefault="005E240B" w:rsidP="005E240B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7567"/>
      </w:tblGrid>
      <w:tr w:rsidR="005E240B" w14:paraId="20E6C206" w14:textId="77777777" w:rsidTr="004729B9">
        <w:trPr>
          <w:trHeight w:val="1818"/>
        </w:trPr>
        <w:tc>
          <w:tcPr>
            <w:tcW w:w="2368" w:type="dxa"/>
          </w:tcPr>
          <w:p w14:paraId="0F3D2844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</w:t>
            </w:r>
          </w:p>
          <w:p w14:paraId="383E84E8" w14:textId="77777777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предосторожности</w:t>
            </w:r>
          </w:p>
        </w:tc>
        <w:tc>
          <w:tcPr>
            <w:tcW w:w="7567" w:type="dxa"/>
          </w:tcPr>
          <w:p w14:paraId="517D87B4" w14:textId="0D3DB3C9" w:rsidR="005E240B" w:rsidRDefault="0060137C" w:rsidP="004729B9">
            <w:pPr>
              <w:tabs>
                <w:tab w:val="left" w:pos="8222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Беречь от огня</w:t>
            </w:r>
            <w:r w:rsidR="005E240B">
              <w:rPr>
                <w:rFonts w:ascii="Arial" w:hAnsi="Arial" w:cs="Arial"/>
                <w:color w:val="000000" w:themeColor="text1"/>
                <w:sz w:val="18"/>
                <w:szCs w:val="18"/>
              </w:rPr>
              <w:t>!</w:t>
            </w:r>
          </w:p>
          <w:p w14:paraId="4632AB69" w14:textId="6A1DD4B3" w:rsidR="005E240B" w:rsidRDefault="005E240B" w:rsidP="006376E2">
            <w:pPr>
              <w:tabs>
                <w:tab w:val="left" w:pos="8222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Использовать защитные перчатки, одежду и средства защиты глаз. Обеспечить хорошую вентиляцию во время проведения работ и высыхания продукта. Пропитанная натуральными маслами ткань и шлифовальная пыль могут самовоспламениться из-за выделяемого при высыхании масел тепла</w:t>
            </w:r>
            <w:r>
              <w:rPr>
                <w:rFonts w:ascii="Arial" w:eastAsia="OpenSans" w:hAnsi="Arial" w:cs="Arial"/>
                <w:color w:val="000000" w:themeColor="text1"/>
                <w:sz w:val="18"/>
                <w:szCs w:val="18"/>
              </w:rPr>
              <w:t>, поэтому пропитанные маслом ткань, губки и малярный инструмент следует высушить в расправленном виде на негорючей поверхности или замочить в контейнере с водой, затем утилизировать.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Всегда производите пробный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выкрас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!</w:t>
            </w:r>
          </w:p>
        </w:tc>
      </w:tr>
    </w:tbl>
    <w:p w14:paraId="4FAE22B7" w14:textId="77777777" w:rsidR="005E240B" w:rsidRDefault="005E240B" w:rsidP="005E240B">
      <w:pPr>
        <w:spacing w:after="0"/>
        <w:rPr>
          <w:rFonts w:ascii="Arial" w:hAnsi="Arial" w:cs="Arial"/>
          <w:sz w:val="10"/>
          <w:szCs w:val="10"/>
        </w:rPr>
      </w:pPr>
    </w:p>
    <w:p w14:paraId="74A40C18" w14:textId="77777777" w:rsidR="005E240B" w:rsidRDefault="005E240B" w:rsidP="005E240B">
      <w:pPr>
        <w:rPr>
          <w:rFonts w:ascii="Arial" w:hAnsi="Arial" w:cs="Arial"/>
          <w:sz w:val="10"/>
          <w:szCs w:val="10"/>
        </w:rPr>
      </w:pPr>
    </w:p>
    <w:p w14:paraId="5470EF9A" w14:textId="77777777" w:rsidR="005E240B" w:rsidRDefault="005E240B" w:rsidP="005E240B">
      <w:pPr>
        <w:rPr>
          <w:rFonts w:ascii="Arial" w:hAnsi="Arial" w:cs="Arial"/>
          <w:sz w:val="18"/>
          <w:szCs w:val="18"/>
        </w:rPr>
      </w:pPr>
    </w:p>
    <w:p w14:paraId="0BA4BC98" w14:textId="391BA9D6" w:rsidR="005E240B" w:rsidRDefault="005E240B" w:rsidP="005E240B">
      <w:pPr>
        <w:rPr>
          <w:rFonts w:ascii="Arial" w:hAnsi="Arial" w:cs="Arial"/>
          <w:sz w:val="18"/>
          <w:szCs w:val="18"/>
        </w:rPr>
        <w:sectPr w:rsidR="005E240B">
          <w:headerReference w:type="default" r:id="rId10"/>
          <w:footerReference w:type="default" r:id="rId11"/>
          <w:type w:val="continuous"/>
          <w:pgSz w:w="11906" w:h="16838"/>
          <w:pgMar w:top="851" w:right="284" w:bottom="567" w:left="1134" w:header="283" w:footer="0" w:gutter="0"/>
          <w:cols w:space="708"/>
          <w:docGrid w:linePitch="360"/>
        </w:sectPr>
      </w:pPr>
    </w:p>
    <w:tbl>
      <w:tblPr>
        <w:tblStyle w:val="af6"/>
        <w:tblW w:w="9967" w:type="dxa"/>
        <w:tblInd w:w="-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5E240B" w14:paraId="5DB56853" w14:textId="77777777" w:rsidTr="0060137C">
        <w:trPr>
          <w:trHeight w:val="845"/>
        </w:trPr>
        <w:tc>
          <w:tcPr>
            <w:tcW w:w="9967" w:type="dxa"/>
          </w:tcPr>
          <w:p w14:paraId="49E3B7EF" w14:textId="77777777" w:rsidR="005E240B" w:rsidRDefault="005E240B" w:rsidP="004729B9">
            <w:pPr>
              <w:pStyle w:val="aff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Произведено в соответствии с ТУ ТУ20.30.22-002-44002945-2022. </w:t>
            </w:r>
          </w:p>
          <w:p w14:paraId="4DD77522" w14:textId="276E9428" w:rsidR="005E240B" w:rsidRDefault="005E240B" w:rsidP="004729B9">
            <w:pPr>
              <w:tabs>
                <w:tab w:val="left" w:pos="40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0233A" w14:textId="77777777" w:rsidR="005E240B" w:rsidRDefault="005E240B" w:rsidP="005E240B">
      <w:pPr>
        <w:tabs>
          <w:tab w:val="left" w:pos="4050"/>
        </w:tabs>
        <w:spacing w:after="0"/>
        <w:rPr>
          <w:rFonts w:ascii="Arial" w:hAnsi="Arial" w:cs="Arial"/>
          <w:sz w:val="18"/>
          <w:szCs w:val="18"/>
        </w:rPr>
      </w:pPr>
    </w:p>
    <w:p w14:paraId="50043133" w14:textId="77777777" w:rsidR="005E240B" w:rsidRDefault="005E240B" w:rsidP="005E240B">
      <w:pPr>
        <w:tabs>
          <w:tab w:val="left" w:pos="4050"/>
        </w:tabs>
        <w:rPr>
          <w:rFonts w:ascii="Arial" w:hAnsi="Arial" w:cs="Arial"/>
          <w:sz w:val="18"/>
          <w:szCs w:val="18"/>
        </w:rPr>
      </w:pPr>
    </w:p>
    <w:p w14:paraId="31951B77" w14:textId="77777777" w:rsidR="005E240B" w:rsidRDefault="005E240B" w:rsidP="00831811">
      <w:pPr>
        <w:tabs>
          <w:tab w:val="left" w:pos="4050"/>
        </w:tabs>
        <w:rPr>
          <w:rFonts w:ascii="Arial" w:hAnsi="Arial" w:cs="Arial"/>
          <w:sz w:val="18"/>
          <w:szCs w:val="18"/>
        </w:rPr>
      </w:pPr>
    </w:p>
    <w:sectPr w:rsidR="005E240B">
      <w:type w:val="continuous"/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1789" w14:textId="77777777" w:rsidR="00614181" w:rsidRDefault="00614181">
      <w:pPr>
        <w:spacing w:after="0" w:line="240" w:lineRule="auto"/>
      </w:pPr>
      <w:r>
        <w:separator/>
      </w:r>
    </w:p>
  </w:endnote>
  <w:endnote w:type="continuationSeparator" w:id="0">
    <w:p w14:paraId="4448D98F" w14:textId="77777777" w:rsidR="00614181" w:rsidRDefault="0061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274256"/>
      <w:docPartObj>
        <w:docPartGallery w:val="Page Numbers (Bottom of Page)"/>
        <w:docPartUnique/>
      </w:docPartObj>
    </w:sdtPr>
    <w:sdtEndPr/>
    <w:sdtContent>
      <w:sdt>
        <w:sdtPr>
          <w:id w:val="2023736568"/>
          <w:docPartObj>
            <w:docPartGallery w:val="Page Numbers (Top of Page)"/>
            <w:docPartUnique/>
          </w:docPartObj>
        </w:sdtPr>
        <w:sdtEndPr/>
        <w:sdtContent>
          <w:p w14:paraId="1B3FA584" w14:textId="77777777" w:rsidR="00ED37D2" w:rsidRDefault="00ED37D2">
            <w:pPr>
              <w:pStyle w:val="af4"/>
              <w:jc w:val="right"/>
              <w:rPr>
                <w:rFonts w:ascii="Helvetica Neue" w:eastAsia="Times New Roman" w:hAnsi="Helvetica Neue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73BD7FC2" w14:textId="77777777" w:rsidR="00ED37D2" w:rsidRDefault="0061418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Helvetica Neue" w:eastAsia="Times New Roman" w:hAnsi="Helvetica Neue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643530"/>
      <w:docPartObj>
        <w:docPartGallery w:val="Page Numbers (Bottom of Page)"/>
        <w:docPartUnique/>
      </w:docPartObj>
    </w:sdtPr>
    <w:sdtEndPr/>
    <w:sdtContent>
      <w:sdt>
        <w:sdtPr>
          <w:id w:val="1750692552"/>
          <w:docPartObj>
            <w:docPartGallery w:val="Page Numbers (Top of Page)"/>
            <w:docPartUnique/>
          </w:docPartObj>
        </w:sdtPr>
        <w:sdtEndPr/>
        <w:sdtContent>
          <w:p w14:paraId="56CDBB1A" w14:textId="77777777" w:rsidR="005E240B" w:rsidRDefault="005E240B">
            <w:pPr>
              <w:pStyle w:val="af4"/>
              <w:jc w:val="right"/>
              <w:rPr>
                <w:rFonts w:ascii="Helvetica Neue" w:eastAsia="Times New Roman" w:hAnsi="Helvetica Neue" w:cs="Arial"/>
                <w:color w:val="000000" w:themeColor="text1"/>
                <w:sz w:val="18"/>
                <w:szCs w:val="18"/>
                <w:lang w:eastAsia="ru-RU"/>
              </w:rPr>
            </w:pPr>
          </w:p>
          <w:p w14:paraId="2D8FBEC5" w14:textId="77777777" w:rsidR="005E240B" w:rsidRDefault="0061418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Helvetica Neue" w:eastAsia="Times New Roman" w:hAnsi="Helvetica Neue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972A" w14:textId="77777777" w:rsidR="00614181" w:rsidRDefault="00614181">
      <w:pPr>
        <w:spacing w:after="0" w:line="240" w:lineRule="auto"/>
      </w:pPr>
      <w:r>
        <w:separator/>
      </w:r>
    </w:p>
  </w:footnote>
  <w:footnote w:type="continuationSeparator" w:id="0">
    <w:p w14:paraId="1EB36E8F" w14:textId="77777777" w:rsidR="00614181" w:rsidRDefault="0061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7745" w14:textId="77777777" w:rsidR="00ED37D2" w:rsidRDefault="007840AB">
    <w:pPr>
      <w:pStyle w:val="af2"/>
    </w:pPr>
    <w:r>
      <w:t xml:space="preserve">                                                                                                </w:t>
    </w:r>
  </w:p>
  <w:p w14:paraId="00D440E7" w14:textId="77777777" w:rsidR="00ED37D2" w:rsidRDefault="007840AB">
    <w:pPr>
      <w:pStyle w:val="af2"/>
      <w:jc w:val="right"/>
    </w:pPr>
    <w:r>
      <w:rPr>
        <w:noProof/>
        <w:lang w:eastAsia="ru-RU"/>
      </w:rPr>
      <mc:AlternateContent>
        <mc:Choice Requires="wpg">
          <w:drawing>
            <wp:inline distT="0" distB="0" distL="0" distR="0" wp14:anchorId="6F291E0F" wp14:editId="177323B5">
              <wp:extent cx="6473190" cy="501650"/>
              <wp:effectExtent l="0" t="0" r="3810" b="635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473190" cy="501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09.7pt;height:39.5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t xml:space="preserve">  </w:t>
    </w:r>
  </w:p>
  <w:p w14:paraId="69CA7F2F" w14:textId="77777777" w:rsidR="00ED37D2" w:rsidRDefault="00ED37D2">
    <w:pPr>
      <w:pStyle w:val="af2"/>
      <w:jc w:val="right"/>
    </w:pPr>
  </w:p>
  <w:p w14:paraId="187E20CB" w14:textId="77777777" w:rsidR="00ED37D2" w:rsidRDefault="007840AB">
    <w:pPr>
      <w:pStyle w:val="af2"/>
      <w:jc w:val="right"/>
    </w:pPr>
    <w: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03EB" w14:textId="77777777" w:rsidR="005E240B" w:rsidRDefault="005E240B">
    <w:pPr>
      <w:pStyle w:val="af2"/>
    </w:pPr>
    <w:r>
      <w:t xml:space="preserve">                                                                                                </w:t>
    </w:r>
  </w:p>
  <w:p w14:paraId="023B2F1C" w14:textId="77777777" w:rsidR="005E240B" w:rsidRDefault="005E240B">
    <w:pPr>
      <w:pStyle w:val="af2"/>
      <w:jc w:val="right"/>
    </w:pPr>
    <w:r>
      <w:rPr>
        <w:noProof/>
        <w:lang w:eastAsia="ru-RU"/>
      </w:rPr>
      <w:drawing>
        <wp:inline distT="0" distB="0" distL="0" distR="0" wp14:anchorId="694A4922" wp14:editId="61E497B5">
          <wp:extent cx="6473190" cy="501650"/>
          <wp:effectExtent l="0" t="0" r="381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47319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338AE564" w14:textId="77777777" w:rsidR="005E240B" w:rsidRDefault="005E240B">
    <w:pPr>
      <w:pStyle w:val="af2"/>
      <w:jc w:val="right"/>
    </w:pPr>
  </w:p>
  <w:p w14:paraId="728F0B36" w14:textId="77777777" w:rsidR="005E240B" w:rsidRDefault="005E240B">
    <w:pPr>
      <w:pStyle w:val="af2"/>
      <w:jc w:val="right"/>
    </w:pP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767F"/>
    <w:multiLevelType w:val="hybridMultilevel"/>
    <w:tmpl w:val="67324452"/>
    <w:lvl w:ilvl="0" w:tplc="5548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21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A4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8C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D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EE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8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D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C6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D4125"/>
    <w:multiLevelType w:val="hybridMultilevel"/>
    <w:tmpl w:val="C65C48CC"/>
    <w:lvl w:ilvl="0" w:tplc="2C7AA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3CEB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FC65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7886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6A6E3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68AC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18CA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FCE8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AC29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A1F9D"/>
    <w:multiLevelType w:val="hybridMultilevel"/>
    <w:tmpl w:val="165C300C"/>
    <w:lvl w:ilvl="0" w:tplc="B15C9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A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6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C3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430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84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4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2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28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D2"/>
    <w:rsid w:val="00014E8A"/>
    <w:rsid w:val="00417ABC"/>
    <w:rsid w:val="0044343C"/>
    <w:rsid w:val="004C45A8"/>
    <w:rsid w:val="005E240B"/>
    <w:rsid w:val="0060137C"/>
    <w:rsid w:val="00614181"/>
    <w:rsid w:val="006376E2"/>
    <w:rsid w:val="00737F32"/>
    <w:rsid w:val="007840AB"/>
    <w:rsid w:val="00831811"/>
    <w:rsid w:val="00843655"/>
    <w:rsid w:val="00855F80"/>
    <w:rsid w:val="008F03FA"/>
    <w:rsid w:val="0090027A"/>
    <w:rsid w:val="009F0065"/>
    <w:rsid w:val="00A46171"/>
    <w:rsid w:val="00BB65D9"/>
    <w:rsid w:val="00ED37D2"/>
    <w:rsid w:val="00F1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86B5"/>
  <w15:docId w15:val="{F244EC42-C710-441B-858F-037B8942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after="200"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CC79-4846-4FB9-91F0-F4F0385A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GNature</dc:creator>
  <cp:keywords/>
  <dc:description/>
  <cp:lastModifiedBy>Валентина Горностаева</cp:lastModifiedBy>
  <cp:revision>9</cp:revision>
  <dcterms:created xsi:type="dcterms:W3CDTF">2023-10-10T11:36:00Z</dcterms:created>
  <dcterms:modified xsi:type="dcterms:W3CDTF">2024-03-01T13:29:00Z</dcterms:modified>
</cp:coreProperties>
</file>